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76FE" w14:textId="77777777" w:rsidR="00CC0DAF" w:rsidRPr="00C65B8B" w:rsidRDefault="00CC0DAF" w:rsidP="00CC0DAF">
      <w:pPr>
        <w:spacing w:after="0" w:line="480" w:lineRule="auto"/>
        <w:jc w:val="center"/>
        <w:rPr>
          <w:rFonts w:ascii="Times New Roman" w:eastAsia="Times New Roman" w:hAnsi="Times New Roman" w:cs="Times New Roman"/>
          <w:b/>
          <w:bCs/>
          <w:kern w:val="36"/>
          <w14:ligatures w14:val="none"/>
        </w:rPr>
      </w:pPr>
    </w:p>
    <w:p w14:paraId="4122D032" w14:textId="77777777" w:rsidR="00CC0DAF" w:rsidRPr="00C65B8B" w:rsidRDefault="00CC0DAF" w:rsidP="00CC0DAF">
      <w:pPr>
        <w:spacing w:after="0" w:line="480" w:lineRule="auto"/>
        <w:jc w:val="center"/>
        <w:rPr>
          <w:rFonts w:ascii="Times New Roman" w:eastAsia="Times New Roman" w:hAnsi="Times New Roman" w:cs="Times New Roman"/>
          <w:b/>
          <w:bCs/>
          <w:kern w:val="36"/>
          <w14:ligatures w14:val="none"/>
        </w:rPr>
      </w:pPr>
    </w:p>
    <w:p w14:paraId="7CE2317E" w14:textId="77777777" w:rsidR="00CC0DAF" w:rsidRPr="00C65B8B" w:rsidRDefault="00CC0DAF" w:rsidP="00CC0DAF">
      <w:pPr>
        <w:spacing w:after="0" w:line="480" w:lineRule="auto"/>
        <w:jc w:val="center"/>
        <w:rPr>
          <w:rFonts w:ascii="Times New Roman" w:eastAsia="Times New Roman" w:hAnsi="Times New Roman" w:cs="Times New Roman"/>
          <w:b/>
          <w:bCs/>
          <w:kern w:val="36"/>
          <w14:ligatures w14:val="none"/>
        </w:rPr>
      </w:pPr>
    </w:p>
    <w:p w14:paraId="49072031" w14:textId="77777777" w:rsidR="00CC0DAF" w:rsidRPr="00C65B8B" w:rsidRDefault="00CC0DAF" w:rsidP="00CC0DAF">
      <w:pPr>
        <w:spacing w:after="0" w:line="480" w:lineRule="auto"/>
        <w:jc w:val="center"/>
        <w:rPr>
          <w:rFonts w:ascii="Times New Roman" w:eastAsia="Times New Roman" w:hAnsi="Times New Roman" w:cs="Times New Roman"/>
          <w:b/>
          <w:bCs/>
          <w:kern w:val="36"/>
          <w14:ligatures w14:val="none"/>
        </w:rPr>
      </w:pPr>
    </w:p>
    <w:p w14:paraId="6A8BEBA7" w14:textId="77777777" w:rsidR="00CC0DAF" w:rsidRPr="00C65B8B" w:rsidRDefault="00CC0DAF" w:rsidP="00CC0DAF">
      <w:pPr>
        <w:spacing w:after="0" w:line="480" w:lineRule="auto"/>
        <w:jc w:val="center"/>
        <w:rPr>
          <w:rFonts w:ascii="Times New Roman" w:eastAsia="Times New Roman" w:hAnsi="Times New Roman" w:cs="Times New Roman"/>
          <w:b/>
          <w:bCs/>
          <w:kern w:val="36"/>
          <w14:ligatures w14:val="none"/>
        </w:rPr>
      </w:pPr>
    </w:p>
    <w:p w14:paraId="55262240" w14:textId="77777777" w:rsidR="007F43CE" w:rsidRDefault="007F43CE" w:rsidP="00CC0DAF">
      <w:pPr>
        <w:spacing w:after="0" w:line="480" w:lineRule="auto"/>
        <w:jc w:val="center"/>
        <w:rPr>
          <w:rFonts w:ascii="Times New Roman" w:eastAsia="Times New Roman" w:hAnsi="Times New Roman" w:cs="Times New Roman"/>
          <w:b/>
          <w:bCs/>
          <w:kern w:val="36"/>
          <w14:ligatures w14:val="none"/>
        </w:rPr>
      </w:pPr>
    </w:p>
    <w:p w14:paraId="042D785B" w14:textId="4C899501" w:rsidR="00CC0DAF" w:rsidRPr="00C65B8B" w:rsidRDefault="00CC0DAF" w:rsidP="00CC0DAF">
      <w:pPr>
        <w:spacing w:after="0" w:line="480" w:lineRule="auto"/>
        <w:jc w:val="center"/>
        <w:rPr>
          <w:rFonts w:ascii="Times New Roman" w:eastAsia="Times New Roman" w:hAnsi="Times New Roman" w:cs="Times New Roman"/>
          <w:b/>
          <w:bCs/>
          <w:kern w:val="36"/>
          <w14:ligatures w14:val="none"/>
        </w:rPr>
      </w:pPr>
      <w:r w:rsidRPr="00CC0DAF">
        <w:rPr>
          <w:rFonts w:ascii="Times New Roman" w:eastAsia="Times New Roman" w:hAnsi="Times New Roman" w:cs="Times New Roman"/>
          <w:b/>
          <w:bCs/>
          <w:kern w:val="36"/>
          <w14:ligatures w14:val="none"/>
        </w:rPr>
        <w:t>Problem-Based Research Paper: Transitions in Care</w:t>
      </w:r>
    </w:p>
    <w:p w14:paraId="33FC4F94" w14:textId="77777777" w:rsidR="00CC0DAF" w:rsidRPr="00C65B8B" w:rsidRDefault="00CC0DAF" w:rsidP="00CC0DAF">
      <w:pPr>
        <w:spacing w:after="0" w:line="480" w:lineRule="auto"/>
        <w:jc w:val="center"/>
        <w:rPr>
          <w:rFonts w:ascii="Times New Roman" w:eastAsia="Times New Roman" w:hAnsi="Times New Roman" w:cs="Times New Roman"/>
          <w:kern w:val="0"/>
          <w14:ligatures w14:val="none"/>
        </w:rPr>
      </w:pPr>
      <w:r w:rsidRPr="00C65B8B">
        <w:rPr>
          <w:rFonts w:ascii="Times New Roman" w:eastAsia="Times New Roman" w:hAnsi="Times New Roman" w:cs="Times New Roman"/>
          <w:kern w:val="0"/>
          <w14:ligatures w14:val="none"/>
        </w:rPr>
        <w:t>Kaelii Cunningham</w:t>
      </w:r>
    </w:p>
    <w:p w14:paraId="3359A08A" w14:textId="1E5813CD" w:rsidR="00CC0DAF" w:rsidRPr="00C65B8B" w:rsidRDefault="00CC0DAF" w:rsidP="00CC0DAF">
      <w:pPr>
        <w:spacing w:after="0" w:line="480" w:lineRule="auto"/>
        <w:jc w:val="center"/>
        <w:rPr>
          <w:rFonts w:ascii="Times New Roman" w:eastAsia="Times New Roman" w:hAnsi="Times New Roman" w:cs="Times New Roman"/>
          <w:shd w:val="clear" w:color="auto" w:fill="F7F7F7"/>
          <w14:ligatures w14:val="none"/>
        </w:rPr>
      </w:pPr>
      <w:r w:rsidRPr="00C65B8B">
        <w:rPr>
          <w:rFonts w:ascii="Times New Roman" w:eastAsia="Times New Roman" w:hAnsi="Times New Roman" w:cs="Times New Roman"/>
          <w:kern w:val="0"/>
          <w14:ligatures w14:val="none"/>
        </w:rPr>
        <w:t>Delaware Technical Community College</w:t>
      </w:r>
      <w:r w:rsidRPr="00C65B8B">
        <w:rPr>
          <w:rFonts w:ascii="Times New Roman" w:eastAsia="Times New Roman" w:hAnsi="Times New Roman" w:cs="Times New Roman"/>
          <w:kern w:val="0"/>
          <w14:ligatures w14:val="none"/>
        </w:rPr>
        <w:br/>
        <w:t>Nursing Research NUR340</w:t>
      </w:r>
      <w:r w:rsidRPr="00C65B8B">
        <w:rPr>
          <w:rFonts w:ascii="Times New Roman" w:eastAsia="Times New Roman" w:hAnsi="Times New Roman" w:cs="Times New Roman"/>
          <w:kern w:val="0"/>
          <w14:ligatures w14:val="none"/>
        </w:rPr>
        <w:br/>
      </w:r>
      <w:r w:rsidRPr="00C65B8B">
        <w:rPr>
          <w:rFonts w:ascii="Times New Roman" w:eastAsia="Times New Roman" w:hAnsi="Times New Roman" w:cs="Times New Roman"/>
          <w:shd w:val="clear" w:color="auto" w:fill="F7F7F7"/>
          <w14:ligatures w14:val="none"/>
        </w:rPr>
        <w:t>Tammy Layer, MSN RN OCN</w:t>
      </w:r>
    </w:p>
    <w:p w14:paraId="58F861A4" w14:textId="3AC1AEBF" w:rsidR="00CC0DAF" w:rsidRPr="00C65B8B" w:rsidRDefault="00CC0DAF" w:rsidP="00CC0DAF">
      <w:pPr>
        <w:spacing w:after="0" w:line="480" w:lineRule="auto"/>
        <w:jc w:val="center"/>
        <w:rPr>
          <w:rFonts w:ascii="Times New Roman" w:eastAsia="Times New Roman" w:hAnsi="Times New Roman" w:cs="Times New Roman"/>
          <w:shd w:val="clear" w:color="auto" w:fill="F7F7F7"/>
          <w14:ligatures w14:val="none"/>
        </w:rPr>
      </w:pPr>
      <w:r w:rsidRPr="00C65B8B">
        <w:rPr>
          <w:rFonts w:ascii="Times New Roman" w:eastAsia="Times New Roman" w:hAnsi="Times New Roman" w:cs="Times New Roman"/>
          <w:shd w:val="clear" w:color="auto" w:fill="F7F7F7"/>
          <w14:ligatures w14:val="none"/>
        </w:rPr>
        <w:t>October 3, 2025</w:t>
      </w:r>
    </w:p>
    <w:p w14:paraId="038470D0" w14:textId="0AE87C76" w:rsidR="00CC0DAF" w:rsidRPr="00C65B8B" w:rsidRDefault="00CC0DAF">
      <w:pPr>
        <w:rPr>
          <w:rFonts w:ascii="Times New Roman" w:eastAsia="Times New Roman" w:hAnsi="Times New Roman" w:cs="Times New Roman"/>
          <w:shd w:val="clear" w:color="auto" w:fill="F7F7F7"/>
          <w14:ligatures w14:val="none"/>
        </w:rPr>
      </w:pPr>
      <w:r w:rsidRPr="00C65B8B">
        <w:rPr>
          <w:rFonts w:ascii="Times New Roman" w:eastAsia="Times New Roman" w:hAnsi="Times New Roman" w:cs="Times New Roman"/>
          <w:shd w:val="clear" w:color="auto" w:fill="F7F7F7"/>
          <w14:ligatures w14:val="none"/>
        </w:rPr>
        <w:br w:type="page"/>
      </w:r>
    </w:p>
    <w:p w14:paraId="668DFE9F" w14:textId="77777777" w:rsidR="00CC0DAF" w:rsidRPr="00CC0DAF"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CC0DAF">
        <w:rPr>
          <w:rFonts w:ascii="Times New Roman" w:eastAsia="Times New Roman" w:hAnsi="Times New Roman" w:cs="Times New Roman"/>
          <w:b/>
          <w:bCs/>
          <w:kern w:val="0"/>
          <w14:ligatures w14:val="none"/>
        </w:rPr>
        <w:lastRenderedPageBreak/>
        <w:t>Introduction</w:t>
      </w:r>
    </w:p>
    <w:p w14:paraId="706E0E7F" w14:textId="5CCCF81C"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kern w:val="0"/>
          <w14:ligatures w14:val="none"/>
        </w:rPr>
        <w:t>Transitions in care are one of the most fragile points in healthcare. Patients move from the hospital to home, to rehab, or into long-term care every day. These moves are supposed to mark progress, but in reality</w:t>
      </w:r>
      <w:r w:rsidRPr="00C65B8B">
        <w:rPr>
          <w:rFonts w:ascii="Times New Roman" w:eastAsia="Times New Roman" w:hAnsi="Times New Roman" w:cs="Times New Roman"/>
          <w:kern w:val="0"/>
          <w14:ligatures w14:val="none"/>
        </w:rPr>
        <w:t>,</w:t>
      </w:r>
      <w:r w:rsidRPr="00CC0DAF">
        <w:rPr>
          <w:rFonts w:ascii="Times New Roman" w:eastAsia="Times New Roman" w:hAnsi="Times New Roman" w:cs="Times New Roman"/>
          <w:kern w:val="0"/>
          <w14:ligatures w14:val="none"/>
        </w:rPr>
        <w:t xml:space="preserve"> they often bring risk. Patients leave without wound supplies, with medication changes they do not understand, or with no follow-up visit arranged. Nurses in home health see this regularly. A discharge that looks “complete” in the chart can still leave a patient unsafe at home. This topic is </w:t>
      </w:r>
      <w:r w:rsidRPr="00C65B8B">
        <w:rPr>
          <w:rFonts w:ascii="Times New Roman" w:eastAsia="Times New Roman" w:hAnsi="Times New Roman" w:cs="Times New Roman"/>
          <w:kern w:val="0"/>
          <w14:ligatures w14:val="none"/>
        </w:rPr>
        <w:t>essential</w:t>
      </w:r>
      <w:r w:rsidRPr="00CC0DAF">
        <w:rPr>
          <w:rFonts w:ascii="Times New Roman" w:eastAsia="Times New Roman" w:hAnsi="Times New Roman" w:cs="Times New Roman"/>
          <w:kern w:val="0"/>
          <w14:ligatures w14:val="none"/>
        </w:rPr>
        <w:t xml:space="preserve"> because it shows where systems fail and how nursing becomes the last line of protection.</w:t>
      </w:r>
    </w:p>
    <w:p w14:paraId="492F1E30" w14:textId="77777777" w:rsidR="00CC0DAF" w:rsidRPr="00CC0DAF"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CC0DAF">
        <w:rPr>
          <w:rFonts w:ascii="Times New Roman" w:eastAsia="Times New Roman" w:hAnsi="Times New Roman" w:cs="Times New Roman"/>
          <w:b/>
          <w:bCs/>
          <w:kern w:val="0"/>
          <w14:ligatures w14:val="none"/>
        </w:rPr>
        <w:t>Significance of the Issue to Nursing Practice</w:t>
      </w:r>
    </w:p>
    <w:p w14:paraId="2FA6019D" w14:textId="50D1529E"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kern w:val="0"/>
          <w14:ligatures w14:val="none"/>
        </w:rPr>
        <w:t xml:space="preserve">For nursing, transitions are not just a handoff. They are a turning point that affects safety, outcomes, and workload. Research </w:t>
      </w:r>
      <w:r w:rsidRPr="00C65B8B">
        <w:rPr>
          <w:rFonts w:ascii="Times New Roman" w:eastAsia="Times New Roman" w:hAnsi="Times New Roman" w:cs="Times New Roman"/>
          <w:kern w:val="0"/>
          <w14:ligatures w14:val="none"/>
        </w:rPr>
        <w:t>indicates that poor transitions lead to increased</w:t>
      </w:r>
      <w:r w:rsidRPr="00CC0DAF">
        <w:rPr>
          <w:rFonts w:ascii="Times New Roman" w:eastAsia="Times New Roman" w:hAnsi="Times New Roman" w:cs="Times New Roman"/>
          <w:kern w:val="0"/>
          <w14:ligatures w14:val="none"/>
        </w:rPr>
        <w:t xml:space="preserve"> readmissions, errors, and complications (Tyler et al., 2023). Nurses carry the responsibility of filling the gaps—calling doctors to clarify orders, reconciling medications, and teaching families. This takes time and energy on top of already heavy workloads. When transitions </w:t>
      </w:r>
      <w:r w:rsidRPr="00C65B8B">
        <w:rPr>
          <w:rFonts w:ascii="Times New Roman" w:eastAsia="Times New Roman" w:hAnsi="Times New Roman" w:cs="Times New Roman"/>
          <w:kern w:val="0"/>
          <w14:ligatures w14:val="none"/>
        </w:rPr>
        <w:t xml:space="preserve">occur smoothly, patients recover more safely, and nurses can focus on providing </w:t>
      </w:r>
      <w:r w:rsidRPr="00CC0DAF">
        <w:rPr>
          <w:rFonts w:ascii="Times New Roman" w:eastAsia="Times New Roman" w:hAnsi="Times New Roman" w:cs="Times New Roman"/>
          <w:kern w:val="0"/>
          <w14:ligatures w14:val="none"/>
        </w:rPr>
        <w:t>care. When they fail, everyone feels the strain. Transitional care is therefore a core part of nursing, not an add-on (Sakashita et al., 2025).</w:t>
      </w:r>
    </w:p>
    <w:p w14:paraId="0E98A646" w14:textId="77777777" w:rsidR="00CC0DAF" w:rsidRPr="00CC0DAF"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CC0DAF">
        <w:rPr>
          <w:rFonts w:ascii="Times New Roman" w:eastAsia="Times New Roman" w:hAnsi="Times New Roman" w:cs="Times New Roman"/>
          <w:b/>
          <w:bCs/>
          <w:kern w:val="0"/>
          <w14:ligatures w14:val="none"/>
        </w:rPr>
        <w:t>Literature Review</w:t>
      </w:r>
    </w:p>
    <w:p w14:paraId="112F94CA" w14:textId="0C969055"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kern w:val="0"/>
          <w14:ligatures w14:val="none"/>
        </w:rPr>
        <w:t xml:space="preserve">Recent studies confirm what nurses already know: transitions are risky, but structured programs can </w:t>
      </w:r>
      <w:r w:rsidRPr="00C65B8B">
        <w:rPr>
          <w:rFonts w:ascii="Times New Roman" w:eastAsia="Times New Roman" w:hAnsi="Times New Roman" w:cs="Times New Roman"/>
          <w:kern w:val="0"/>
          <w14:ligatures w14:val="none"/>
        </w:rPr>
        <w:t>mitigate this risk</w:t>
      </w:r>
      <w:r w:rsidRPr="00CC0DAF">
        <w:rPr>
          <w:rFonts w:ascii="Times New Roman" w:eastAsia="Times New Roman" w:hAnsi="Times New Roman" w:cs="Times New Roman"/>
          <w:kern w:val="0"/>
          <w14:ligatures w14:val="none"/>
        </w:rPr>
        <w:t>.</w:t>
      </w:r>
    </w:p>
    <w:p w14:paraId="696BB630" w14:textId="2696B50D"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b/>
          <w:bCs/>
          <w:kern w:val="0"/>
          <w14:ligatures w14:val="none"/>
        </w:rPr>
        <w:lastRenderedPageBreak/>
        <w:t>Discharge planning.</w:t>
      </w:r>
      <w:r w:rsidRPr="00CC0DAF">
        <w:rPr>
          <w:rFonts w:ascii="Times New Roman" w:eastAsia="Times New Roman" w:hAnsi="Times New Roman" w:cs="Times New Roman"/>
          <w:kern w:val="0"/>
          <w14:ligatures w14:val="none"/>
        </w:rPr>
        <w:t xml:space="preserve"> Many patients leave </w:t>
      </w:r>
      <w:r w:rsidRPr="00C65B8B">
        <w:rPr>
          <w:rFonts w:ascii="Times New Roman" w:eastAsia="Times New Roman" w:hAnsi="Times New Roman" w:cs="Times New Roman"/>
          <w:kern w:val="0"/>
          <w14:ligatures w14:val="none"/>
        </w:rPr>
        <w:t>the hospital before they are fully recovered</w:t>
      </w:r>
      <w:r w:rsidRPr="00CC0DAF">
        <w:rPr>
          <w:rFonts w:ascii="Times New Roman" w:eastAsia="Times New Roman" w:hAnsi="Times New Roman" w:cs="Times New Roman"/>
          <w:kern w:val="0"/>
          <w14:ligatures w14:val="none"/>
        </w:rPr>
        <w:t>. Shorter lengths of stay are often driven by insurance,</w:t>
      </w:r>
      <w:r w:rsidRPr="00C65B8B">
        <w:rPr>
          <w:rFonts w:ascii="Times New Roman" w:eastAsia="Times New Roman" w:hAnsi="Times New Roman" w:cs="Times New Roman"/>
          <w:kern w:val="0"/>
          <w14:ligatures w14:val="none"/>
        </w:rPr>
        <w:t xml:space="preserve"> and</w:t>
      </w:r>
      <w:r w:rsidRPr="00CC0DAF">
        <w:rPr>
          <w:rFonts w:ascii="Times New Roman" w:eastAsia="Times New Roman" w:hAnsi="Times New Roman" w:cs="Times New Roman"/>
          <w:kern w:val="0"/>
          <w14:ligatures w14:val="none"/>
        </w:rPr>
        <w:t xml:space="preserve"> not</w:t>
      </w:r>
      <w:r w:rsidRPr="00C65B8B">
        <w:rPr>
          <w:rFonts w:ascii="Times New Roman" w:eastAsia="Times New Roman" w:hAnsi="Times New Roman" w:cs="Times New Roman"/>
          <w:kern w:val="0"/>
          <w14:ligatures w14:val="none"/>
        </w:rPr>
        <w:t xml:space="preserve"> the</w:t>
      </w:r>
      <w:r w:rsidRPr="00CC0DAF">
        <w:rPr>
          <w:rFonts w:ascii="Times New Roman" w:eastAsia="Times New Roman" w:hAnsi="Times New Roman" w:cs="Times New Roman"/>
          <w:kern w:val="0"/>
          <w14:ligatures w14:val="none"/>
        </w:rPr>
        <w:t xml:space="preserve"> </w:t>
      </w:r>
      <w:r w:rsidRPr="00C65B8B">
        <w:rPr>
          <w:rFonts w:ascii="Times New Roman" w:eastAsia="Times New Roman" w:hAnsi="Times New Roman" w:cs="Times New Roman"/>
          <w:kern w:val="0"/>
          <w14:ligatures w14:val="none"/>
        </w:rPr>
        <w:t>patient's</w:t>
      </w:r>
      <w:r w:rsidRPr="00CC0DAF">
        <w:rPr>
          <w:rFonts w:ascii="Times New Roman" w:eastAsia="Times New Roman" w:hAnsi="Times New Roman" w:cs="Times New Roman"/>
          <w:kern w:val="0"/>
          <w14:ligatures w14:val="none"/>
        </w:rPr>
        <w:t xml:space="preserve"> condition. Discharges can be rushed, and information does not always flow to the next provider. This leaves patients and caregivers trying to figure things out on their own (Wang et al., 2023).</w:t>
      </w:r>
    </w:p>
    <w:p w14:paraId="6439411A" w14:textId="7C4CB72C"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b/>
          <w:bCs/>
          <w:kern w:val="0"/>
          <w14:ligatures w14:val="none"/>
        </w:rPr>
        <w:t>Effective models.</w:t>
      </w:r>
      <w:r w:rsidRPr="00CC0DAF">
        <w:rPr>
          <w:rFonts w:ascii="Times New Roman" w:eastAsia="Times New Roman" w:hAnsi="Times New Roman" w:cs="Times New Roman"/>
          <w:kern w:val="0"/>
          <w14:ligatures w14:val="none"/>
        </w:rPr>
        <w:t xml:space="preserve"> Nurse-led programs make a difference. A systematic review showed that nurse-driven transitional care lowered readmissions and improved quality of life (Sakashita et al., 2025). </w:t>
      </w:r>
      <w:r w:rsidRPr="00C65B8B">
        <w:rPr>
          <w:rFonts w:ascii="Times New Roman" w:eastAsia="Times New Roman" w:hAnsi="Times New Roman" w:cs="Times New Roman"/>
          <w:kern w:val="0"/>
          <w14:ligatures w14:val="none"/>
        </w:rPr>
        <w:t>An extensive</w:t>
      </w:r>
      <w:r w:rsidRPr="00CC0DAF">
        <w:rPr>
          <w:rFonts w:ascii="Times New Roman" w:eastAsia="Times New Roman" w:hAnsi="Times New Roman" w:cs="Times New Roman"/>
          <w:kern w:val="0"/>
          <w14:ligatures w14:val="none"/>
        </w:rPr>
        <w:t xml:space="preserve"> analysis found that even simpler transitional care programs reduced hospital use up to six months after discharge (Tyler et al., 2023). In heart failure, nurse-led care </w:t>
      </w:r>
      <w:r w:rsidRPr="00C65B8B">
        <w:rPr>
          <w:rFonts w:ascii="Times New Roman" w:eastAsia="Times New Roman" w:hAnsi="Times New Roman" w:cs="Times New Roman"/>
          <w:kern w:val="0"/>
          <w14:ligatures w14:val="none"/>
        </w:rPr>
        <w:t xml:space="preserve">has been shown to lower mortality and rehospitalization rates, </w:t>
      </w:r>
      <w:r w:rsidRPr="00CC0DAF">
        <w:rPr>
          <w:rFonts w:ascii="Times New Roman" w:eastAsia="Times New Roman" w:hAnsi="Times New Roman" w:cs="Times New Roman"/>
          <w:kern w:val="0"/>
          <w14:ligatures w14:val="none"/>
        </w:rPr>
        <w:t xml:space="preserve">even in limited-resource settings (Koontalay et al., 2024). These results </w:t>
      </w:r>
      <w:r w:rsidRPr="00C65B8B">
        <w:rPr>
          <w:rFonts w:ascii="Times New Roman" w:eastAsia="Times New Roman" w:hAnsi="Times New Roman" w:cs="Times New Roman"/>
          <w:kern w:val="0"/>
          <w14:ligatures w14:val="none"/>
        </w:rPr>
        <w:t>demonstrate that both general and disease-specific programs are effective when nursing is a central focus</w:t>
      </w:r>
      <w:r w:rsidRPr="00CC0DAF">
        <w:rPr>
          <w:rFonts w:ascii="Times New Roman" w:eastAsia="Times New Roman" w:hAnsi="Times New Roman" w:cs="Times New Roman"/>
          <w:kern w:val="0"/>
          <w14:ligatures w14:val="none"/>
        </w:rPr>
        <w:t>.</w:t>
      </w:r>
    </w:p>
    <w:p w14:paraId="03837158" w14:textId="09F9E5E1"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b/>
          <w:bCs/>
          <w:kern w:val="0"/>
          <w14:ligatures w14:val="none"/>
        </w:rPr>
        <w:t>Equity.</w:t>
      </w:r>
      <w:r w:rsidRPr="00CC0DAF">
        <w:rPr>
          <w:rFonts w:ascii="Times New Roman" w:eastAsia="Times New Roman" w:hAnsi="Times New Roman" w:cs="Times New Roman"/>
          <w:kern w:val="0"/>
          <w14:ligatures w14:val="none"/>
        </w:rPr>
        <w:t xml:space="preserve"> Transitions are </w:t>
      </w:r>
      <w:r w:rsidRPr="00C65B8B">
        <w:rPr>
          <w:rFonts w:ascii="Times New Roman" w:eastAsia="Times New Roman" w:hAnsi="Times New Roman" w:cs="Times New Roman"/>
          <w:kern w:val="0"/>
          <w14:ligatures w14:val="none"/>
        </w:rPr>
        <w:t>more challenging</w:t>
      </w:r>
      <w:r w:rsidRPr="00CC0DAF">
        <w:rPr>
          <w:rFonts w:ascii="Times New Roman" w:eastAsia="Times New Roman" w:hAnsi="Times New Roman" w:cs="Times New Roman"/>
          <w:kern w:val="0"/>
          <w14:ligatures w14:val="none"/>
        </w:rPr>
        <w:t xml:space="preserve"> for patients who lack support. Older adults, those with language barriers, and patients without caregivers are at greater risk. Reviews </w:t>
      </w:r>
      <w:r w:rsidRPr="00C65B8B">
        <w:rPr>
          <w:rFonts w:ascii="Times New Roman" w:eastAsia="Times New Roman" w:hAnsi="Times New Roman" w:cs="Times New Roman"/>
          <w:kern w:val="0"/>
          <w14:ligatures w14:val="none"/>
        </w:rPr>
        <w:t>suggest that programs incorporating caregiver training, psychological support, and culturally sensitive education can enhance</w:t>
      </w:r>
      <w:r w:rsidRPr="00CC0DAF">
        <w:rPr>
          <w:rFonts w:ascii="Times New Roman" w:eastAsia="Times New Roman" w:hAnsi="Times New Roman" w:cs="Times New Roman"/>
          <w:kern w:val="0"/>
          <w14:ligatures w14:val="none"/>
        </w:rPr>
        <w:t xml:space="preserve"> outcomes (Marini et al., 2025). Without these elements, vulnerable patients remain the most </w:t>
      </w:r>
      <w:r w:rsidRPr="00C65B8B">
        <w:rPr>
          <w:rFonts w:ascii="Times New Roman" w:eastAsia="Times New Roman" w:hAnsi="Times New Roman" w:cs="Times New Roman"/>
          <w:kern w:val="0"/>
          <w14:ligatures w14:val="none"/>
        </w:rPr>
        <w:t>vulnerable</w:t>
      </w:r>
      <w:r w:rsidRPr="00CC0DAF">
        <w:rPr>
          <w:rFonts w:ascii="Times New Roman" w:eastAsia="Times New Roman" w:hAnsi="Times New Roman" w:cs="Times New Roman"/>
          <w:kern w:val="0"/>
          <w14:ligatures w14:val="none"/>
        </w:rPr>
        <w:t>.</w:t>
      </w:r>
    </w:p>
    <w:p w14:paraId="649FE9D9" w14:textId="3032FC79"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b/>
          <w:bCs/>
          <w:kern w:val="0"/>
          <w14:ligatures w14:val="none"/>
        </w:rPr>
        <w:t>Clinician burden.</w:t>
      </w:r>
      <w:r w:rsidRPr="00CC0DAF">
        <w:rPr>
          <w:rFonts w:ascii="Times New Roman" w:eastAsia="Times New Roman" w:hAnsi="Times New Roman" w:cs="Times New Roman"/>
          <w:kern w:val="0"/>
          <w14:ligatures w14:val="none"/>
        </w:rPr>
        <w:t xml:space="preserve"> Nurses describe transitions as one of the most stressful parts of their role. Fragmented communication, duplicate documentation, and unclear handoffs </w:t>
      </w:r>
      <w:r w:rsidRPr="00C65B8B">
        <w:rPr>
          <w:rFonts w:ascii="Times New Roman" w:eastAsia="Times New Roman" w:hAnsi="Times New Roman" w:cs="Times New Roman"/>
          <w:kern w:val="0"/>
          <w14:ligatures w14:val="none"/>
        </w:rPr>
        <w:t>lead to increased</w:t>
      </w:r>
      <w:r w:rsidRPr="00CC0DAF">
        <w:rPr>
          <w:rFonts w:ascii="Times New Roman" w:eastAsia="Times New Roman" w:hAnsi="Times New Roman" w:cs="Times New Roman"/>
          <w:kern w:val="0"/>
          <w14:ligatures w14:val="none"/>
        </w:rPr>
        <w:t xml:space="preserve"> errors and burnout. Transitional care programs not only help </w:t>
      </w:r>
      <w:r w:rsidRPr="00C65B8B">
        <w:rPr>
          <w:rFonts w:ascii="Times New Roman" w:eastAsia="Times New Roman" w:hAnsi="Times New Roman" w:cs="Times New Roman"/>
          <w:kern w:val="0"/>
          <w14:ligatures w14:val="none"/>
        </w:rPr>
        <w:t xml:space="preserve">patients, </w:t>
      </w:r>
      <w:r w:rsidRPr="00CC0DAF">
        <w:rPr>
          <w:rFonts w:ascii="Times New Roman" w:eastAsia="Times New Roman" w:hAnsi="Times New Roman" w:cs="Times New Roman"/>
          <w:kern w:val="0"/>
          <w14:ligatures w14:val="none"/>
        </w:rPr>
        <w:t xml:space="preserve">they also give nurses </w:t>
      </w:r>
      <w:r w:rsidRPr="00C65B8B">
        <w:rPr>
          <w:rFonts w:ascii="Times New Roman" w:eastAsia="Times New Roman" w:hAnsi="Times New Roman" w:cs="Times New Roman"/>
          <w:kern w:val="0"/>
          <w14:ligatures w14:val="none"/>
        </w:rPr>
        <w:t>more transparent</w:t>
      </w:r>
      <w:r w:rsidRPr="00CC0DAF">
        <w:rPr>
          <w:rFonts w:ascii="Times New Roman" w:eastAsia="Times New Roman" w:hAnsi="Times New Roman" w:cs="Times New Roman"/>
          <w:kern w:val="0"/>
          <w14:ligatures w14:val="none"/>
        </w:rPr>
        <w:t xml:space="preserve"> processes and reduce strain (Tyler et al., 2023).</w:t>
      </w:r>
    </w:p>
    <w:p w14:paraId="65DB2277" w14:textId="77777777" w:rsidR="00CC0DAF" w:rsidRPr="00CC0DAF"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CC0DAF">
        <w:rPr>
          <w:rFonts w:ascii="Times New Roman" w:eastAsia="Times New Roman" w:hAnsi="Times New Roman" w:cs="Times New Roman"/>
          <w:b/>
          <w:bCs/>
          <w:kern w:val="0"/>
          <w14:ligatures w14:val="none"/>
        </w:rPr>
        <w:t>Methodologies and Gaps</w:t>
      </w:r>
    </w:p>
    <w:p w14:paraId="22C61A01" w14:textId="26BBE797"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kern w:val="0"/>
          <w14:ligatures w14:val="none"/>
        </w:rPr>
        <w:lastRenderedPageBreak/>
        <w:t xml:space="preserve">Most studies </w:t>
      </w:r>
      <w:r w:rsidRPr="00C65B8B">
        <w:rPr>
          <w:rFonts w:ascii="Times New Roman" w:eastAsia="Times New Roman" w:hAnsi="Times New Roman" w:cs="Times New Roman"/>
          <w:kern w:val="0"/>
          <w14:ligatures w14:val="none"/>
        </w:rPr>
        <w:t xml:space="preserve">utilize numerical data, including readmission rates, mortality rates, and </w:t>
      </w:r>
      <w:r w:rsidRPr="00CC0DAF">
        <w:rPr>
          <w:rFonts w:ascii="Times New Roman" w:eastAsia="Times New Roman" w:hAnsi="Times New Roman" w:cs="Times New Roman"/>
          <w:kern w:val="0"/>
          <w14:ligatures w14:val="none"/>
        </w:rPr>
        <w:t xml:space="preserve">hospital costs. These show impact but miss the human experience. Some studies </w:t>
      </w:r>
      <w:r w:rsidRPr="00C65B8B">
        <w:rPr>
          <w:rFonts w:ascii="Times New Roman" w:eastAsia="Times New Roman" w:hAnsi="Times New Roman" w:cs="Times New Roman"/>
          <w:kern w:val="0"/>
          <w14:ligatures w14:val="none"/>
        </w:rPr>
        <w:t>employ interviews and surveys to capture the experiences of patients and caregivers, although these methods are less commonly used</w:t>
      </w:r>
      <w:r w:rsidRPr="00CC0DAF">
        <w:rPr>
          <w:rFonts w:ascii="Times New Roman" w:eastAsia="Times New Roman" w:hAnsi="Times New Roman" w:cs="Times New Roman"/>
          <w:kern w:val="0"/>
          <w14:ligatures w14:val="none"/>
        </w:rPr>
        <w:t>. What is missing is research that combines both outcomes and voices. Another gap is technology. Telehealth, virtual nursing, and AI-driven tools are expanding, but there is little evidence on how they truly affect transitions.</w:t>
      </w:r>
    </w:p>
    <w:p w14:paraId="24E06BFC" w14:textId="77777777" w:rsidR="00CC0DAF" w:rsidRPr="00CC0DAF"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CC0DAF">
        <w:rPr>
          <w:rFonts w:ascii="Times New Roman" w:eastAsia="Times New Roman" w:hAnsi="Times New Roman" w:cs="Times New Roman"/>
          <w:b/>
          <w:bCs/>
          <w:kern w:val="0"/>
          <w14:ligatures w14:val="none"/>
        </w:rPr>
        <w:t>Human Rights Protection</w:t>
      </w:r>
    </w:p>
    <w:p w14:paraId="509B714C" w14:textId="266EC301" w:rsidR="00CC0DAF" w:rsidRPr="00CC0DAF"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CC0DAF">
        <w:rPr>
          <w:rFonts w:ascii="Times New Roman" w:eastAsia="Times New Roman" w:hAnsi="Times New Roman" w:cs="Times New Roman"/>
          <w:kern w:val="0"/>
          <w14:ligatures w14:val="none"/>
        </w:rPr>
        <w:t xml:space="preserve">Safe transitions should be viewed as a basic patient right. Every patient deserves </w:t>
      </w:r>
      <w:r w:rsidRPr="00C65B8B">
        <w:rPr>
          <w:rFonts w:ascii="Times New Roman" w:eastAsia="Times New Roman" w:hAnsi="Times New Roman" w:cs="Times New Roman"/>
          <w:kern w:val="0"/>
          <w14:ligatures w14:val="none"/>
        </w:rPr>
        <w:t xml:space="preserve">clear and understandable education, access to necessary supplies, and follow-up care </w:t>
      </w:r>
      <w:r w:rsidRPr="00CC0DAF">
        <w:rPr>
          <w:rFonts w:ascii="Times New Roman" w:eastAsia="Times New Roman" w:hAnsi="Times New Roman" w:cs="Times New Roman"/>
          <w:kern w:val="0"/>
          <w14:ligatures w14:val="none"/>
        </w:rPr>
        <w:t xml:space="preserve">that prevents avoidable harm. These rights are often compromised when discharges are rushed or when information is not shared. Patients may </w:t>
      </w:r>
      <w:r w:rsidRPr="00C65B8B">
        <w:rPr>
          <w:rFonts w:ascii="Times New Roman" w:eastAsia="Times New Roman" w:hAnsi="Times New Roman" w:cs="Times New Roman"/>
          <w:kern w:val="0"/>
          <w14:ligatures w14:val="none"/>
        </w:rPr>
        <w:t xml:space="preserve">be discharged without the necessary </w:t>
      </w:r>
      <w:r w:rsidRPr="00CC0DAF">
        <w:rPr>
          <w:rFonts w:ascii="Times New Roman" w:eastAsia="Times New Roman" w:hAnsi="Times New Roman" w:cs="Times New Roman"/>
          <w:kern w:val="0"/>
          <w14:ligatures w14:val="none"/>
        </w:rPr>
        <w:t xml:space="preserve">equipment or instructions in their own language (Wang et al., 2023). Nurses frequently act as advocates, protecting patients when systems and policies </w:t>
      </w:r>
      <w:r w:rsidRPr="00C65B8B">
        <w:rPr>
          <w:rFonts w:ascii="Times New Roman" w:eastAsia="Times New Roman" w:hAnsi="Times New Roman" w:cs="Times New Roman"/>
          <w:kern w:val="0"/>
          <w14:ligatures w14:val="none"/>
        </w:rPr>
        <w:t>fail to meet their needs</w:t>
      </w:r>
      <w:r w:rsidRPr="00CC0DAF">
        <w:rPr>
          <w:rFonts w:ascii="Times New Roman" w:eastAsia="Times New Roman" w:hAnsi="Times New Roman" w:cs="Times New Roman"/>
          <w:kern w:val="0"/>
          <w14:ligatures w14:val="none"/>
        </w:rPr>
        <w:t>.</w:t>
      </w:r>
    </w:p>
    <w:p w14:paraId="1ABA85B3" w14:textId="77777777" w:rsidR="002D7157" w:rsidRPr="002D7157" w:rsidRDefault="002D7157" w:rsidP="00C65B8B">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2D7157">
        <w:rPr>
          <w:rFonts w:ascii="Times New Roman" w:eastAsia="Times New Roman" w:hAnsi="Times New Roman" w:cs="Times New Roman"/>
          <w:b/>
          <w:bCs/>
          <w:kern w:val="0"/>
          <w14:ligatures w14:val="none"/>
        </w:rPr>
        <w:t>Evidence-Based Practice</w:t>
      </w:r>
    </w:p>
    <w:p w14:paraId="00A7F135" w14:textId="07F423AF" w:rsidR="002D7157" w:rsidRPr="002D7157" w:rsidRDefault="00C65B8B" w:rsidP="00C65B8B">
      <w:pPr>
        <w:spacing w:before="100" w:beforeAutospacing="1" w:after="100" w:afterAutospacing="1" w:line="480" w:lineRule="auto"/>
        <w:ind w:firstLine="720"/>
        <w:rPr>
          <w:rFonts w:ascii="Times New Roman" w:eastAsia="Times New Roman" w:hAnsi="Times New Roman" w:cs="Times New Roman"/>
          <w:kern w:val="0"/>
          <w14:ligatures w14:val="none"/>
        </w:rPr>
      </w:pPr>
      <w:r w:rsidRPr="002D7157">
        <w:rPr>
          <w:rFonts w:ascii="Times New Roman" w:eastAsia="Times New Roman" w:hAnsi="Times New Roman" w:cs="Times New Roman"/>
          <w:kern w:val="0"/>
          <w14:ligatures w14:val="none"/>
        </w:rPr>
        <w:t xml:space="preserve">Evidence shows that transitions are safer when nurses lead the process. A recent review found that nurse-led models </w:t>
      </w:r>
      <w:r w:rsidRPr="00C65B8B">
        <w:rPr>
          <w:rFonts w:ascii="Times New Roman" w:eastAsia="Times New Roman" w:hAnsi="Times New Roman" w:cs="Times New Roman"/>
          <w:kern w:val="0"/>
          <w14:ligatures w14:val="none"/>
        </w:rPr>
        <w:t>reduced hospital readmissions and also improved the quality of life for patients, demonstrating that consistent follow-up is crucial</w:t>
      </w:r>
      <w:r w:rsidRPr="002D7157">
        <w:rPr>
          <w:rFonts w:ascii="Times New Roman" w:eastAsia="Times New Roman" w:hAnsi="Times New Roman" w:cs="Times New Roman"/>
          <w:kern w:val="0"/>
          <w14:ligatures w14:val="none"/>
        </w:rPr>
        <w:t xml:space="preserve"> long after discharge (Sakashita et al., 2025). Transitional care programs with </w:t>
      </w:r>
      <w:r w:rsidRPr="00C65B8B">
        <w:rPr>
          <w:rFonts w:ascii="Times New Roman" w:eastAsia="Times New Roman" w:hAnsi="Times New Roman" w:cs="Times New Roman"/>
          <w:kern w:val="0"/>
          <w14:ligatures w14:val="none"/>
        </w:rPr>
        <w:t xml:space="preserve">varying levels of support also reduced hospital use, demonstrating that even moderate structure can help </w:t>
      </w:r>
      <w:r w:rsidRPr="002D7157">
        <w:rPr>
          <w:rFonts w:ascii="Times New Roman" w:eastAsia="Times New Roman" w:hAnsi="Times New Roman" w:cs="Times New Roman"/>
          <w:kern w:val="0"/>
          <w14:ligatures w14:val="none"/>
        </w:rPr>
        <w:t xml:space="preserve">keep patients out of the hospital (Tyler et al., 2023). In heart failure programs, nurses coordinating care lowered both rehospitalization and death rates, which is critical for patients who are already at high risk (Koontalay et al., 2024). Research also shows the importance of equity. Programs that included caregiver education and </w:t>
      </w:r>
      <w:r w:rsidRPr="002D7157">
        <w:rPr>
          <w:rFonts w:ascii="Times New Roman" w:eastAsia="Times New Roman" w:hAnsi="Times New Roman" w:cs="Times New Roman"/>
          <w:kern w:val="0"/>
          <w14:ligatures w14:val="none"/>
        </w:rPr>
        <w:lastRenderedPageBreak/>
        <w:t xml:space="preserve">culturally appropriate teaching improved outcomes for patients who usually face more barriers (Marini et al., 2025). Technology has also played a role. When structured follow-up was combined with </w:t>
      </w:r>
      <w:r w:rsidRPr="00C65B8B">
        <w:rPr>
          <w:rFonts w:ascii="Times New Roman" w:eastAsia="Times New Roman" w:hAnsi="Times New Roman" w:cs="Times New Roman"/>
          <w:kern w:val="0"/>
          <w14:ligatures w14:val="none"/>
        </w:rPr>
        <w:t>technology-based tools, patients who left</w:t>
      </w:r>
      <w:r w:rsidRPr="002D7157">
        <w:rPr>
          <w:rFonts w:ascii="Times New Roman" w:eastAsia="Times New Roman" w:hAnsi="Times New Roman" w:cs="Times New Roman"/>
          <w:kern w:val="0"/>
          <w14:ligatures w14:val="none"/>
        </w:rPr>
        <w:t xml:space="preserve"> surgery adjusted more safely at home (Wang et al., 2023). Taken together, these findings </w:t>
      </w:r>
      <w:r w:rsidRPr="00C65B8B">
        <w:rPr>
          <w:rFonts w:ascii="Times New Roman" w:eastAsia="Times New Roman" w:hAnsi="Times New Roman" w:cs="Times New Roman"/>
          <w:kern w:val="0"/>
          <w14:ligatures w14:val="none"/>
        </w:rPr>
        <w:t>suggest a common conclusion: when nurses guide patients through transitions, they</w:t>
      </w:r>
      <w:r w:rsidRPr="002D7157">
        <w:rPr>
          <w:rFonts w:ascii="Times New Roman" w:eastAsia="Times New Roman" w:hAnsi="Times New Roman" w:cs="Times New Roman"/>
          <w:kern w:val="0"/>
          <w14:ligatures w14:val="none"/>
        </w:rPr>
        <w:t xml:space="preserve"> are safer and outcomes improve.</w:t>
      </w:r>
    </w:p>
    <w:p w14:paraId="593B6ECD" w14:textId="77777777" w:rsidR="00CC0DAF" w:rsidRPr="00B23ED4"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B23ED4">
        <w:rPr>
          <w:rFonts w:ascii="Times New Roman" w:eastAsia="Times New Roman" w:hAnsi="Times New Roman" w:cs="Times New Roman"/>
          <w:b/>
          <w:bCs/>
          <w:kern w:val="0"/>
          <w14:ligatures w14:val="none"/>
        </w:rPr>
        <w:t>Implications for Health Equity</w:t>
      </w:r>
    </w:p>
    <w:p w14:paraId="581685B0" w14:textId="4833F68F" w:rsidR="00CC0DAF" w:rsidRPr="00B23ED4"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B23ED4">
        <w:rPr>
          <w:rFonts w:ascii="Times New Roman" w:eastAsia="Times New Roman" w:hAnsi="Times New Roman" w:cs="Times New Roman"/>
          <w:kern w:val="0"/>
          <w14:ligatures w14:val="none"/>
        </w:rPr>
        <w:t xml:space="preserve">The U.S. healthcare system is structured around Medicare guidelines, which set the rules for reimbursement and drive organizational behavior. Hospitals and agencies are pressured to discharge quickly to reduce costs and maintain throughput. These incentives often come at the expense of patient safety, especially for those who are frail or lack resources. When care is rushed, patients without caregivers, transportation, or internet access face the </w:t>
      </w:r>
      <w:r w:rsidRPr="00C65B8B">
        <w:rPr>
          <w:rFonts w:ascii="Times New Roman" w:eastAsia="Times New Roman" w:hAnsi="Times New Roman" w:cs="Times New Roman"/>
          <w:kern w:val="0"/>
          <w14:ligatures w14:val="none"/>
        </w:rPr>
        <w:t>most significant</w:t>
      </w:r>
      <w:r w:rsidRPr="00B23ED4">
        <w:rPr>
          <w:rFonts w:ascii="Times New Roman" w:eastAsia="Times New Roman" w:hAnsi="Times New Roman" w:cs="Times New Roman"/>
          <w:kern w:val="0"/>
          <w14:ligatures w14:val="none"/>
        </w:rPr>
        <w:t xml:space="preserve"> risk. Poor transitions also trigger financial penalties under Medicare’s Hospital Readmissions Reduction Program, </w:t>
      </w:r>
      <w:r w:rsidRPr="00C65B8B">
        <w:rPr>
          <w:rFonts w:ascii="Times New Roman" w:eastAsia="Times New Roman" w:hAnsi="Times New Roman" w:cs="Times New Roman"/>
          <w:kern w:val="0"/>
          <w14:ligatures w14:val="none"/>
        </w:rPr>
        <w:t xml:space="preserve">resulting in lower reimbursement and potentially </w:t>
      </w:r>
      <w:r w:rsidRPr="00B23ED4">
        <w:rPr>
          <w:rFonts w:ascii="Times New Roman" w:eastAsia="Times New Roman" w:hAnsi="Times New Roman" w:cs="Times New Roman"/>
          <w:kern w:val="0"/>
          <w14:ligatures w14:val="none"/>
        </w:rPr>
        <w:t>damaging accreditation status. This cycle not only widens inequities for patients but also fuels burnout among nurses who are left to manage unsafe discharges. The implications are clear: safe and equitable transitional care is tied to both patient rights and the financial stability of healthcare systems (Tyler et al., 2023; Marini et al., 2025).</w:t>
      </w:r>
    </w:p>
    <w:p w14:paraId="73139B42" w14:textId="77777777" w:rsidR="00CC0DAF" w:rsidRPr="00B23ED4"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B23ED4">
        <w:rPr>
          <w:rFonts w:ascii="Times New Roman" w:eastAsia="Times New Roman" w:hAnsi="Times New Roman" w:cs="Times New Roman"/>
          <w:b/>
          <w:bCs/>
          <w:kern w:val="0"/>
          <w14:ligatures w14:val="none"/>
        </w:rPr>
        <w:t>Recommendations for Further Research</w:t>
      </w:r>
    </w:p>
    <w:p w14:paraId="52382983" w14:textId="26B6C154" w:rsidR="00CC0DAF" w:rsidRPr="00B23ED4"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B23ED4">
        <w:rPr>
          <w:rFonts w:ascii="Times New Roman" w:eastAsia="Times New Roman" w:hAnsi="Times New Roman" w:cs="Times New Roman"/>
          <w:kern w:val="0"/>
          <w14:ligatures w14:val="none"/>
        </w:rPr>
        <w:t xml:space="preserve">Future studies should explore the impact of Medicare-driven incentives on the quality of discharges and </w:t>
      </w:r>
      <w:r w:rsidRPr="00C65B8B">
        <w:rPr>
          <w:rFonts w:ascii="Times New Roman" w:eastAsia="Times New Roman" w:hAnsi="Times New Roman" w:cs="Times New Roman"/>
          <w:kern w:val="0"/>
          <w14:ligatures w14:val="none"/>
        </w:rPr>
        <w:t>long-term</w:t>
      </w:r>
      <w:r w:rsidRPr="00B23ED4">
        <w:rPr>
          <w:rFonts w:ascii="Times New Roman" w:eastAsia="Times New Roman" w:hAnsi="Times New Roman" w:cs="Times New Roman"/>
          <w:kern w:val="0"/>
          <w14:ligatures w14:val="none"/>
        </w:rPr>
        <w:t xml:space="preserve"> outcomes. Research is also needed on how fragmented EMRs and communication failures contribute to costly errors. Studies should evaluate the link between poor </w:t>
      </w:r>
      <w:r w:rsidRPr="00B23ED4">
        <w:rPr>
          <w:rFonts w:ascii="Times New Roman" w:eastAsia="Times New Roman" w:hAnsi="Times New Roman" w:cs="Times New Roman"/>
          <w:kern w:val="0"/>
          <w14:ligatures w14:val="none"/>
        </w:rPr>
        <w:lastRenderedPageBreak/>
        <w:t xml:space="preserve">transitions, clinician burnout, and turnover to capture the full economic burden. </w:t>
      </w:r>
      <w:r w:rsidRPr="00C65B8B">
        <w:rPr>
          <w:rFonts w:ascii="Times New Roman" w:eastAsia="Times New Roman" w:hAnsi="Times New Roman" w:cs="Times New Roman"/>
          <w:kern w:val="0"/>
          <w14:ligatures w14:val="none"/>
        </w:rPr>
        <w:t>Additional work is also needed to test technology-supported interventions, such as virtual nursing and AI-driven discharge planning, to determine whether they can improve outcomes without increasing</w:t>
      </w:r>
      <w:r w:rsidRPr="00B23ED4">
        <w:rPr>
          <w:rFonts w:ascii="Times New Roman" w:eastAsia="Times New Roman" w:hAnsi="Times New Roman" w:cs="Times New Roman"/>
          <w:kern w:val="0"/>
          <w14:ligatures w14:val="none"/>
        </w:rPr>
        <w:t xml:space="preserve"> staff workload.</w:t>
      </w:r>
    </w:p>
    <w:p w14:paraId="4F9D6E37" w14:textId="77777777" w:rsidR="00CC0DAF" w:rsidRPr="00B23ED4"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B23ED4">
        <w:rPr>
          <w:rFonts w:ascii="Times New Roman" w:eastAsia="Times New Roman" w:hAnsi="Times New Roman" w:cs="Times New Roman"/>
          <w:b/>
          <w:bCs/>
          <w:kern w:val="0"/>
          <w14:ligatures w14:val="none"/>
        </w:rPr>
        <w:t>Proposed Research Question and Method</w:t>
      </w:r>
    </w:p>
    <w:p w14:paraId="659A15D6" w14:textId="77777777" w:rsidR="00CC0DAF" w:rsidRPr="00B23ED4"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B23ED4">
        <w:rPr>
          <w:rFonts w:ascii="Times New Roman" w:eastAsia="Times New Roman" w:hAnsi="Times New Roman" w:cs="Times New Roman"/>
          <w:kern w:val="0"/>
          <w14:ligatures w14:val="none"/>
        </w:rPr>
        <w:t>A strong future research question would be:</w:t>
      </w:r>
      <w:r w:rsidRPr="00B23ED4">
        <w:rPr>
          <w:rFonts w:ascii="Times New Roman" w:eastAsia="Times New Roman" w:hAnsi="Times New Roman" w:cs="Times New Roman"/>
          <w:kern w:val="0"/>
          <w14:ligatures w14:val="none"/>
        </w:rPr>
        <w:br/>
      </w:r>
      <w:r w:rsidRPr="00B23ED4">
        <w:rPr>
          <w:rFonts w:ascii="Times New Roman" w:eastAsia="Times New Roman" w:hAnsi="Times New Roman" w:cs="Times New Roman"/>
          <w:b/>
          <w:bCs/>
          <w:kern w:val="0"/>
          <w14:ligatures w14:val="none"/>
        </w:rPr>
        <w:t>“How do nurse-led transitional care models influence patient safety, health equity, and healthcare system costs within Medicare-driven structures?”</w:t>
      </w:r>
    </w:p>
    <w:p w14:paraId="6344951F" w14:textId="24A8A3A9" w:rsidR="00CC0DAF" w:rsidRPr="00B23ED4"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B23ED4">
        <w:rPr>
          <w:rFonts w:ascii="Times New Roman" w:eastAsia="Times New Roman" w:hAnsi="Times New Roman" w:cs="Times New Roman"/>
          <w:kern w:val="0"/>
          <w14:ligatures w14:val="none"/>
        </w:rPr>
        <w:t xml:space="preserve">A mixed methods design would capture both outcomes and experiences. Quantitative analysis could measure readmission rates, penalties avoided, and cost savings. Qualitative interviews with patients, caregivers, and nurses would reveal the challenges of fragmented systems and policy pressures. This approach would </w:t>
      </w:r>
      <w:r w:rsidRPr="00C65B8B">
        <w:rPr>
          <w:rFonts w:ascii="Times New Roman" w:eastAsia="Times New Roman" w:hAnsi="Times New Roman" w:cs="Times New Roman"/>
          <w:kern w:val="0"/>
          <w14:ligatures w14:val="none"/>
        </w:rPr>
        <w:t>provide a comprehensive understanding</w:t>
      </w:r>
      <w:r w:rsidRPr="00B23ED4">
        <w:rPr>
          <w:rFonts w:ascii="Times New Roman" w:eastAsia="Times New Roman" w:hAnsi="Times New Roman" w:cs="Times New Roman"/>
          <w:kern w:val="0"/>
          <w14:ligatures w14:val="none"/>
        </w:rPr>
        <w:t xml:space="preserve"> of the issue.</w:t>
      </w:r>
    </w:p>
    <w:p w14:paraId="5919B30E" w14:textId="77777777" w:rsidR="00CC0DAF" w:rsidRPr="00B23ED4"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B23ED4">
        <w:rPr>
          <w:rFonts w:ascii="Times New Roman" w:eastAsia="Times New Roman" w:hAnsi="Times New Roman" w:cs="Times New Roman"/>
          <w:b/>
          <w:bCs/>
          <w:kern w:val="0"/>
          <w14:ligatures w14:val="none"/>
        </w:rPr>
        <w:t>Impact on Nursing Practice</w:t>
      </w:r>
    </w:p>
    <w:p w14:paraId="49F71666" w14:textId="60F2DD0B" w:rsidR="00CC0DAF" w:rsidRPr="00B23ED4"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B23ED4">
        <w:rPr>
          <w:rFonts w:ascii="Times New Roman" w:eastAsia="Times New Roman" w:hAnsi="Times New Roman" w:cs="Times New Roman"/>
          <w:kern w:val="0"/>
          <w14:ligatures w14:val="none"/>
        </w:rPr>
        <w:t xml:space="preserve">Transitions in care </w:t>
      </w:r>
      <w:r w:rsidRPr="00C65B8B">
        <w:rPr>
          <w:rFonts w:ascii="Times New Roman" w:eastAsia="Times New Roman" w:hAnsi="Times New Roman" w:cs="Times New Roman"/>
          <w:kern w:val="0"/>
          <w14:ligatures w14:val="none"/>
        </w:rPr>
        <w:t>have a significant impact on patient safety, health equity, and the financial stability</w:t>
      </w:r>
      <w:r w:rsidRPr="00B23ED4">
        <w:rPr>
          <w:rFonts w:ascii="Times New Roman" w:eastAsia="Times New Roman" w:hAnsi="Times New Roman" w:cs="Times New Roman"/>
          <w:kern w:val="0"/>
          <w14:ligatures w14:val="none"/>
        </w:rPr>
        <w:t xml:space="preserve"> of organizations. Poorly managed discharges increase readmissions, trigger financial penalties, and lower accreditation scores. These outcomes directly impact hospital revenue and stability. At the same time, nurses shoulder the burden of bridging gaps in unsafe discharges, which fuels burnout and turnover. Strengthening transitional care not only protects patients but also supports nursing practice and </w:t>
      </w:r>
      <w:r w:rsidRPr="00C65B8B">
        <w:rPr>
          <w:rFonts w:ascii="Times New Roman" w:eastAsia="Times New Roman" w:hAnsi="Times New Roman" w:cs="Times New Roman"/>
          <w:kern w:val="0"/>
          <w14:ligatures w14:val="none"/>
        </w:rPr>
        <w:t>the sustainability of healthcare systems</w:t>
      </w:r>
      <w:r w:rsidRPr="00B23ED4">
        <w:rPr>
          <w:rFonts w:ascii="Times New Roman" w:eastAsia="Times New Roman" w:hAnsi="Times New Roman" w:cs="Times New Roman"/>
          <w:kern w:val="0"/>
          <w14:ligatures w14:val="none"/>
        </w:rPr>
        <w:t xml:space="preserve">. Nurse-led models </w:t>
      </w:r>
      <w:r w:rsidRPr="00C65B8B">
        <w:rPr>
          <w:rFonts w:ascii="Times New Roman" w:eastAsia="Times New Roman" w:hAnsi="Times New Roman" w:cs="Times New Roman"/>
          <w:kern w:val="0"/>
          <w14:ligatures w14:val="none"/>
        </w:rPr>
        <w:t>demonstrate how transitional care can improve outcomes, protect rights, and reduce</w:t>
      </w:r>
      <w:r w:rsidRPr="00B23ED4">
        <w:rPr>
          <w:rFonts w:ascii="Times New Roman" w:eastAsia="Times New Roman" w:hAnsi="Times New Roman" w:cs="Times New Roman"/>
          <w:kern w:val="0"/>
          <w14:ligatures w14:val="none"/>
        </w:rPr>
        <w:t xml:space="preserve"> </w:t>
      </w:r>
      <w:r w:rsidRPr="00B23ED4">
        <w:rPr>
          <w:rFonts w:ascii="Times New Roman" w:eastAsia="Times New Roman" w:hAnsi="Times New Roman" w:cs="Times New Roman"/>
          <w:kern w:val="0"/>
          <w14:ligatures w14:val="none"/>
        </w:rPr>
        <w:lastRenderedPageBreak/>
        <w:t>costs. This makes transitions one of the most critical areas for advancing safe, equitable, and sustainable nursing practice.</w:t>
      </w:r>
    </w:p>
    <w:p w14:paraId="272319A1" w14:textId="77777777" w:rsidR="00CC0DAF" w:rsidRPr="00B23ED4" w:rsidRDefault="00CC0DAF" w:rsidP="00CC0DA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B23ED4">
        <w:rPr>
          <w:rFonts w:ascii="Times New Roman" w:eastAsia="Times New Roman" w:hAnsi="Times New Roman" w:cs="Times New Roman"/>
          <w:b/>
          <w:bCs/>
          <w:kern w:val="0"/>
          <w14:ligatures w14:val="none"/>
        </w:rPr>
        <w:t>Conclusion</w:t>
      </w:r>
    </w:p>
    <w:p w14:paraId="716BD70F" w14:textId="732BE5BB" w:rsidR="00CC0DAF" w:rsidRPr="00C65B8B" w:rsidRDefault="00CC0DAF" w:rsidP="00CC0DAF">
      <w:pPr>
        <w:spacing w:before="100" w:beforeAutospacing="1" w:after="100" w:afterAutospacing="1" w:line="480" w:lineRule="auto"/>
        <w:ind w:firstLine="720"/>
        <w:rPr>
          <w:rFonts w:ascii="Times New Roman" w:eastAsia="Times New Roman" w:hAnsi="Times New Roman" w:cs="Times New Roman"/>
          <w:kern w:val="0"/>
          <w14:ligatures w14:val="none"/>
        </w:rPr>
      </w:pPr>
      <w:r w:rsidRPr="00B23ED4">
        <w:rPr>
          <w:rFonts w:ascii="Times New Roman" w:eastAsia="Times New Roman" w:hAnsi="Times New Roman" w:cs="Times New Roman"/>
          <w:kern w:val="0"/>
          <w14:ligatures w14:val="none"/>
        </w:rPr>
        <w:t xml:space="preserve">Transitions in care remain a vulnerable point in healthcare, but one with significant opportunity for improvement. Recent evidence shows that nurse-led and interdisciplinary models reduce readmissions, improve patient outcomes, and support caregivers. Safe transitions protect patient rights and reduce inequities while also preserving organizational stability. With </w:t>
      </w:r>
      <w:r w:rsidRPr="00C65B8B">
        <w:rPr>
          <w:rFonts w:ascii="Times New Roman" w:eastAsia="Times New Roman" w:hAnsi="Times New Roman" w:cs="Times New Roman"/>
          <w:kern w:val="0"/>
          <w14:ligatures w14:val="none"/>
        </w:rPr>
        <w:t>more substantial</w:t>
      </w:r>
      <w:r w:rsidRPr="00B23ED4">
        <w:rPr>
          <w:rFonts w:ascii="Times New Roman" w:eastAsia="Times New Roman" w:hAnsi="Times New Roman" w:cs="Times New Roman"/>
          <w:kern w:val="0"/>
          <w14:ligatures w14:val="none"/>
        </w:rPr>
        <w:t xml:space="preserve"> research and evidence-based practices, nurses can continue to lead changes that turn fragmented handoffs into coordinated and safe care journeys.</w:t>
      </w:r>
      <w:r w:rsidRPr="00C65B8B">
        <w:rPr>
          <w:rFonts w:ascii="Times New Roman" w:eastAsia="Times New Roman" w:hAnsi="Times New Roman" w:cs="Times New Roman"/>
          <w:kern w:val="0"/>
          <w14:ligatures w14:val="none"/>
        </w:rPr>
        <w:t xml:space="preserve"> Based on </w:t>
      </w:r>
      <w:r w:rsidRPr="00CC0DAF">
        <w:rPr>
          <w:rFonts w:ascii="Times New Roman" w:eastAsia="Times New Roman" w:hAnsi="Times New Roman" w:cs="Times New Roman"/>
          <w:kern w:val="0"/>
          <w14:ligatures w14:val="none"/>
        </w:rPr>
        <w:t>models, transitions can shift from being points of failure to becoming points of strength in the healthcare system.</w:t>
      </w:r>
    </w:p>
    <w:p w14:paraId="1AEFD96D" w14:textId="7E74E4AA" w:rsidR="00CC0DAF" w:rsidRPr="00C65B8B" w:rsidRDefault="00CC0DAF">
      <w:pPr>
        <w:rPr>
          <w:rFonts w:ascii="Times New Roman" w:eastAsia="Times New Roman" w:hAnsi="Times New Roman" w:cs="Times New Roman"/>
          <w:kern w:val="0"/>
          <w14:ligatures w14:val="none"/>
        </w:rPr>
      </w:pPr>
      <w:r w:rsidRPr="00C65B8B">
        <w:rPr>
          <w:rFonts w:ascii="Times New Roman" w:eastAsia="Times New Roman" w:hAnsi="Times New Roman" w:cs="Times New Roman"/>
          <w:kern w:val="0"/>
          <w14:ligatures w14:val="none"/>
        </w:rPr>
        <w:br w:type="page"/>
      </w:r>
    </w:p>
    <w:p w14:paraId="73C2CAE0" w14:textId="77777777" w:rsidR="008835A8" w:rsidRDefault="008835A8" w:rsidP="00BE22AF">
      <w:pPr>
        <w:pStyle w:val="font8"/>
        <w:jc w:val="center"/>
      </w:pPr>
      <w:r>
        <w:lastRenderedPageBreak/>
        <w:t>References</w:t>
      </w:r>
    </w:p>
    <w:p w14:paraId="12EDD815" w14:textId="77777777" w:rsidR="008835A8" w:rsidRDefault="008835A8" w:rsidP="00BE22AF">
      <w:pPr>
        <w:pStyle w:val="font8"/>
        <w:spacing w:line="480" w:lineRule="auto"/>
        <w:ind w:left="720" w:right="720" w:hanging="720"/>
      </w:pPr>
      <w:r>
        <w:t xml:space="preserve">Marini, G., Longhini, J., Ambrosi, E., Canzan, F., Konradsen, H., &amp; Kabir, Z. N. (2025). Transitional care interventions in improving patient and caregiver outcomes after discharge: A scoping review. Healthcare (Basel, Switzerland), 13(3), 312. </w:t>
      </w:r>
      <w:r>
        <w:rPr>
          <w:u w:val="single"/>
        </w:rPr>
        <w:t>https://doi.org/10.3390/healthcare13030312</w:t>
      </w:r>
    </w:p>
    <w:p w14:paraId="498755E6" w14:textId="77777777" w:rsidR="008835A8" w:rsidRDefault="008835A8" w:rsidP="00BE22AF">
      <w:pPr>
        <w:pStyle w:val="font8"/>
        <w:spacing w:line="480" w:lineRule="auto"/>
        <w:ind w:left="720" w:right="720" w:hanging="720"/>
      </w:pPr>
      <w:r>
        <w:t xml:space="preserve">Koontalay, A., Samai, T., Samutalai, C., Onthuam, W., &amp; Fonghiranrat, D. (2024). Effectiveness of nurse-led heart failure transitional care services in improving clinical outcomes and applicability to low-resource settings: A meta-analysis. WHO South-East Asia Journal of Public Health, 13(2), 60–68. </w:t>
      </w:r>
      <w:r>
        <w:rPr>
          <w:u w:val="single"/>
        </w:rPr>
        <w:t>https://doi.org/10.4103/WHO-SEAJPH.WHO-SEAJPH_26_23</w:t>
      </w:r>
    </w:p>
    <w:p w14:paraId="67F74234" w14:textId="77777777" w:rsidR="008835A8" w:rsidRDefault="008835A8" w:rsidP="00BE22AF">
      <w:pPr>
        <w:pStyle w:val="font8"/>
        <w:spacing w:line="480" w:lineRule="auto"/>
        <w:ind w:left="720" w:right="720" w:hanging="720"/>
      </w:pPr>
      <w:r>
        <w:t xml:space="preserve">Sakashita, C., Endo, E., Ota, E., &amp; Oku, H. (2025). Effectiveness of nurse-led transitional care interventions for adult patients discharged from acute care hospitals: A systematic review and meta-analysis. BMC Nursing, 24(1). </w:t>
      </w:r>
      <w:r>
        <w:rPr>
          <w:u w:val="single"/>
        </w:rPr>
        <w:t>https://doi.org/10.1186/s12912-025-03040-w</w:t>
      </w:r>
    </w:p>
    <w:p w14:paraId="13B3A314" w14:textId="488AB433" w:rsidR="008835A8" w:rsidRDefault="008835A8" w:rsidP="00BE22AF">
      <w:pPr>
        <w:pStyle w:val="font8"/>
        <w:spacing w:line="480" w:lineRule="auto"/>
        <w:ind w:left="720" w:right="720" w:hanging="720"/>
        <w:rPr>
          <w:u w:val="single"/>
        </w:rPr>
      </w:pPr>
      <w:r>
        <w:t xml:space="preserve">Tyler, N., Hodkinson, A., Planner, C., Angelakis, I., Keyworth, C., Hall, A., Jones, P. P., Wright, O., Keers, R. N., Blakeman, T., &amp; Panagioti, M. (2023). Transitional care interventions from hospital to community to reduce health care use and improve patient outcomes. JAMA Network Open, 6(11), e2344825. </w:t>
      </w:r>
      <w:hyperlink r:id="rId7" w:history="1">
        <w:r w:rsidRPr="00244538">
          <w:rPr>
            <w:rStyle w:val="Hyperlink"/>
          </w:rPr>
          <w:t>https://doi.org/10.1001/jamanetworkopen.2023.44825</w:t>
        </w:r>
      </w:hyperlink>
    </w:p>
    <w:p w14:paraId="2C50D203" w14:textId="45C3208D" w:rsidR="008835A8" w:rsidRDefault="008835A8" w:rsidP="00BE22AF">
      <w:pPr>
        <w:pStyle w:val="font8"/>
        <w:spacing w:line="480" w:lineRule="auto"/>
        <w:ind w:left="720" w:right="720" w:hanging="720"/>
      </w:pPr>
      <w:r w:rsidRPr="00CC0DAF">
        <w:lastRenderedPageBreak/>
        <w:t xml:space="preserve">Wang, M., Hua, J., Li, Y., Liu, T., &amp; Liang, H. (2023). Application of a nurse-led transitional care programme for patients discharged with T-tubes after biliary surgery. </w:t>
      </w:r>
      <w:r w:rsidRPr="00CC0DAF">
        <w:rPr>
          <w:i/>
          <w:iCs/>
        </w:rPr>
        <w:t>Nursing Open, 10</w:t>
      </w:r>
      <w:r w:rsidRPr="00CC0DAF">
        <w:t xml:space="preserve">(7), 4570–4577. </w:t>
      </w:r>
      <w:hyperlink r:id="rId8" w:tgtFrame="_new" w:history="1">
        <w:r w:rsidRPr="00CC0DAF">
          <w:rPr>
            <w:u w:val="single"/>
          </w:rPr>
          <w:t>https://doi.org/10.1002/nop2.1704</w:t>
        </w:r>
      </w:hyperlink>
    </w:p>
    <w:p w14:paraId="5DE49885" w14:textId="77777777" w:rsidR="00CC0DAF" w:rsidRPr="00C65B8B" w:rsidRDefault="00CC0DAF">
      <w:pPr>
        <w:rPr>
          <w:rFonts w:ascii="Times New Roman" w:hAnsi="Times New Roman" w:cs="Times New Roman"/>
        </w:rPr>
      </w:pPr>
    </w:p>
    <w:sectPr w:rsidR="00CC0DAF" w:rsidRPr="00C65B8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C1E1" w14:textId="77777777" w:rsidR="00CC0DAF" w:rsidRDefault="00CC0DAF" w:rsidP="00CC0DAF">
      <w:pPr>
        <w:spacing w:after="0" w:line="240" w:lineRule="auto"/>
      </w:pPr>
      <w:r>
        <w:separator/>
      </w:r>
    </w:p>
  </w:endnote>
  <w:endnote w:type="continuationSeparator" w:id="0">
    <w:p w14:paraId="1E44A0C5" w14:textId="77777777" w:rsidR="00CC0DAF" w:rsidRDefault="00CC0DAF" w:rsidP="00CC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76E9" w14:textId="77777777" w:rsidR="00CC0DAF" w:rsidRDefault="00CC0DAF" w:rsidP="00CC0DAF">
      <w:pPr>
        <w:spacing w:after="0" w:line="240" w:lineRule="auto"/>
      </w:pPr>
      <w:r>
        <w:separator/>
      </w:r>
    </w:p>
  </w:footnote>
  <w:footnote w:type="continuationSeparator" w:id="0">
    <w:p w14:paraId="3C1522AD" w14:textId="77777777" w:rsidR="00CC0DAF" w:rsidRDefault="00CC0DAF" w:rsidP="00CC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82176"/>
      <w:docPartObj>
        <w:docPartGallery w:val="Page Numbers (Top of Page)"/>
        <w:docPartUnique/>
      </w:docPartObj>
    </w:sdtPr>
    <w:sdtEndPr>
      <w:rPr>
        <w:noProof/>
      </w:rPr>
    </w:sdtEndPr>
    <w:sdtContent>
      <w:p w14:paraId="0CC20063" w14:textId="3A8C9EA0" w:rsidR="00CC0DAF" w:rsidRDefault="00CC0D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582FA3" w14:textId="77777777" w:rsidR="00CC0DAF" w:rsidRDefault="00CC0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D4980"/>
    <w:multiLevelType w:val="multilevel"/>
    <w:tmpl w:val="040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34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AF"/>
    <w:rsid w:val="002D7157"/>
    <w:rsid w:val="006179AC"/>
    <w:rsid w:val="007F43CE"/>
    <w:rsid w:val="00866D73"/>
    <w:rsid w:val="008835A8"/>
    <w:rsid w:val="008871E9"/>
    <w:rsid w:val="00B6600C"/>
    <w:rsid w:val="00BE22AF"/>
    <w:rsid w:val="00C65B8B"/>
    <w:rsid w:val="00CC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2F7F"/>
  <w15:chartTrackingRefBased/>
  <w15:docId w15:val="{9DFD9116-6163-4033-BEE4-6E1A6676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DAF"/>
    <w:rPr>
      <w:rFonts w:eastAsiaTheme="majorEastAsia" w:cstheme="majorBidi"/>
      <w:color w:val="272727" w:themeColor="text1" w:themeTint="D8"/>
    </w:rPr>
  </w:style>
  <w:style w:type="paragraph" w:styleId="Title">
    <w:name w:val="Title"/>
    <w:basedOn w:val="Normal"/>
    <w:next w:val="Normal"/>
    <w:link w:val="TitleChar"/>
    <w:uiPriority w:val="10"/>
    <w:qFormat/>
    <w:rsid w:val="00CC0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DAF"/>
    <w:pPr>
      <w:spacing w:before="160"/>
      <w:jc w:val="center"/>
    </w:pPr>
    <w:rPr>
      <w:i/>
      <w:iCs/>
      <w:color w:val="404040" w:themeColor="text1" w:themeTint="BF"/>
    </w:rPr>
  </w:style>
  <w:style w:type="character" w:customStyle="1" w:styleId="QuoteChar">
    <w:name w:val="Quote Char"/>
    <w:basedOn w:val="DefaultParagraphFont"/>
    <w:link w:val="Quote"/>
    <w:uiPriority w:val="29"/>
    <w:rsid w:val="00CC0DAF"/>
    <w:rPr>
      <w:i/>
      <w:iCs/>
      <w:color w:val="404040" w:themeColor="text1" w:themeTint="BF"/>
    </w:rPr>
  </w:style>
  <w:style w:type="paragraph" w:styleId="ListParagraph">
    <w:name w:val="List Paragraph"/>
    <w:basedOn w:val="Normal"/>
    <w:uiPriority w:val="34"/>
    <w:qFormat/>
    <w:rsid w:val="00CC0DAF"/>
    <w:pPr>
      <w:ind w:left="720"/>
      <w:contextualSpacing/>
    </w:pPr>
  </w:style>
  <w:style w:type="character" w:styleId="IntenseEmphasis">
    <w:name w:val="Intense Emphasis"/>
    <w:basedOn w:val="DefaultParagraphFont"/>
    <w:uiPriority w:val="21"/>
    <w:qFormat/>
    <w:rsid w:val="00CC0DAF"/>
    <w:rPr>
      <w:i/>
      <w:iCs/>
      <w:color w:val="0F4761" w:themeColor="accent1" w:themeShade="BF"/>
    </w:rPr>
  </w:style>
  <w:style w:type="paragraph" w:styleId="IntenseQuote">
    <w:name w:val="Intense Quote"/>
    <w:basedOn w:val="Normal"/>
    <w:next w:val="Normal"/>
    <w:link w:val="IntenseQuoteChar"/>
    <w:uiPriority w:val="30"/>
    <w:qFormat/>
    <w:rsid w:val="00CC0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DAF"/>
    <w:rPr>
      <w:i/>
      <w:iCs/>
      <w:color w:val="0F4761" w:themeColor="accent1" w:themeShade="BF"/>
    </w:rPr>
  </w:style>
  <w:style w:type="character" w:styleId="IntenseReference">
    <w:name w:val="Intense Reference"/>
    <w:basedOn w:val="DefaultParagraphFont"/>
    <w:uiPriority w:val="32"/>
    <w:qFormat/>
    <w:rsid w:val="00CC0DAF"/>
    <w:rPr>
      <w:b/>
      <w:bCs/>
      <w:smallCaps/>
      <w:color w:val="0F4761" w:themeColor="accent1" w:themeShade="BF"/>
      <w:spacing w:val="5"/>
    </w:rPr>
  </w:style>
  <w:style w:type="paragraph" w:styleId="Header">
    <w:name w:val="header"/>
    <w:basedOn w:val="Normal"/>
    <w:link w:val="HeaderChar"/>
    <w:uiPriority w:val="99"/>
    <w:unhideWhenUsed/>
    <w:rsid w:val="00CC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AF"/>
  </w:style>
  <w:style w:type="paragraph" w:styleId="Footer">
    <w:name w:val="footer"/>
    <w:basedOn w:val="Normal"/>
    <w:link w:val="FooterChar"/>
    <w:uiPriority w:val="99"/>
    <w:unhideWhenUsed/>
    <w:rsid w:val="00CC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AF"/>
  </w:style>
  <w:style w:type="paragraph" w:customStyle="1" w:styleId="font8">
    <w:name w:val="font_8"/>
    <w:basedOn w:val="Normal"/>
    <w:rsid w:val="008835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835A8"/>
    <w:rPr>
      <w:color w:val="467886" w:themeColor="hyperlink"/>
      <w:u w:val="single"/>
    </w:rPr>
  </w:style>
  <w:style w:type="character" w:styleId="UnresolvedMention">
    <w:name w:val="Unresolved Mention"/>
    <w:basedOn w:val="DefaultParagraphFont"/>
    <w:uiPriority w:val="99"/>
    <w:semiHidden/>
    <w:unhideWhenUsed/>
    <w:rsid w:val="00883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nop2.1704" TargetMode="External"/><Relationship Id="rId3" Type="http://schemas.openxmlformats.org/officeDocument/2006/relationships/settings" Target="settings.xml"/><Relationship Id="rId7" Type="http://schemas.openxmlformats.org/officeDocument/2006/relationships/hyperlink" Target="https://doi.org/10.1001/jamanetworkopen.2023.448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2614</TotalTime>
  <Pages>9</Pages>
  <Words>1532</Words>
  <Characters>9513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Kaelii Cunningham</dc:creator>
  <cp:keywords/>
  <dc:description/>
  <cp:lastModifiedBy>Kaelii Cunningham</cp:lastModifiedBy>
  <cp:revision>8</cp:revision>
  <dcterms:created xsi:type="dcterms:W3CDTF">2025-10-03T15:44:00Z</dcterms:created>
  <dcterms:modified xsi:type="dcterms:W3CDTF">2025-10-05T15:26:00Z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cfe7b9ab-1041-48ce-9626-6b4f29ad3c6d</vt:lpwstr>
  </property>
</Properties>
</file>